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06" w:rsidRDefault="00744C06" w:rsidP="00744C06">
      <w:pPr>
        <w:pStyle w:val="ListParagraph"/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Fellows Publications and Presentations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744C06" w:rsidRDefault="00744C06" w:rsidP="00744C06">
      <w:pPr>
        <w:pStyle w:val="ListParagraph"/>
        <w:ind w:left="90"/>
        <w:rPr>
          <w:b/>
          <w:sz w:val="24"/>
          <w:szCs w:val="24"/>
        </w:rPr>
      </w:pPr>
    </w:p>
    <w:p w:rsidR="00744C06" w:rsidRDefault="00744C06" w:rsidP="00744C06">
      <w:pPr>
        <w:pStyle w:val="ListParagraph"/>
        <w:ind w:left="90"/>
        <w:rPr>
          <w:b/>
          <w:sz w:val="24"/>
          <w:szCs w:val="24"/>
        </w:rPr>
      </w:pPr>
    </w:p>
    <w:p w:rsidR="00744C06" w:rsidRDefault="00744C06" w:rsidP="00744C06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Mangla</w:t>
      </w:r>
      <w:proofErr w:type="spellEnd"/>
      <w:r>
        <w:rPr>
          <w:b/>
          <w:sz w:val="24"/>
          <w:szCs w:val="24"/>
        </w:rPr>
        <w:t xml:space="preserve"> N, </w:t>
      </w:r>
      <w:proofErr w:type="spellStart"/>
      <w:r>
        <w:rPr>
          <w:b/>
          <w:sz w:val="24"/>
          <w:szCs w:val="24"/>
        </w:rPr>
        <w:t>Mamun</w:t>
      </w:r>
      <w:proofErr w:type="spellEnd"/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, Weisberg IS. </w:t>
      </w:r>
      <w:proofErr w:type="gramStart"/>
      <w:r>
        <w:rPr>
          <w:sz w:val="24"/>
          <w:szCs w:val="24"/>
        </w:rPr>
        <w:t>Viral hepatitis screening in transgender patients undergoing gender identity hormonal therapy.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J </w:t>
      </w:r>
      <w:proofErr w:type="spellStart"/>
      <w:r>
        <w:rPr>
          <w:sz w:val="24"/>
          <w:szCs w:val="24"/>
        </w:rPr>
        <w:t>Gastroenterol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Hepatol</w:t>
      </w:r>
      <w:proofErr w:type="spellEnd"/>
      <w:r>
        <w:rPr>
          <w:sz w:val="24"/>
          <w:szCs w:val="24"/>
        </w:rPr>
        <w:t xml:space="preserve"> 2017. 29(11): 1215-1218.</w:t>
      </w:r>
      <w:r>
        <w:rPr>
          <w:sz w:val="24"/>
          <w:szCs w:val="24"/>
        </w:rPr>
        <w:br/>
      </w: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gramStart"/>
      <w:r>
        <w:rPr>
          <w:rFonts w:asciiTheme="minorHAnsi" w:hAnsiTheme="minorHAnsi" w:cs="Arial"/>
          <w:b/>
          <w:color w:val="000000" w:themeColor="text1"/>
        </w:rPr>
        <w:t xml:space="preserve">D'Souza LS, </w:t>
      </w:r>
      <w:proofErr w:type="spellStart"/>
      <w:r>
        <w:rPr>
          <w:rFonts w:asciiTheme="minorHAnsi" w:hAnsiTheme="minorHAnsi" w:cs="Arial"/>
          <w:b/>
          <w:color w:val="000000" w:themeColor="text1"/>
        </w:rPr>
        <w:t>Korman</w:t>
      </w:r>
      <w:proofErr w:type="spellEnd"/>
      <w:r>
        <w:rPr>
          <w:rFonts w:asciiTheme="minorHAnsi" w:hAnsiTheme="minorHAnsi" w:cs="Arial"/>
          <w:b/>
          <w:color w:val="000000" w:themeColor="text1"/>
        </w:rPr>
        <w:t xml:space="preserve"> A, </w:t>
      </w:r>
      <w:r>
        <w:rPr>
          <w:rFonts w:asciiTheme="minorHAnsi" w:hAnsiTheme="minorHAnsi" w:cs="Arial"/>
          <w:color w:val="000000" w:themeColor="text1"/>
        </w:rPr>
        <w:t xml:space="preserve">Benias PC, </w:t>
      </w:r>
      <w:proofErr w:type="spellStart"/>
      <w:r>
        <w:rPr>
          <w:rFonts w:asciiTheme="minorHAnsi" w:hAnsiTheme="minorHAnsi" w:cs="Arial"/>
          <w:color w:val="000000" w:themeColor="text1"/>
        </w:rPr>
        <w:t>Carr</w:t>
      </w:r>
      <w:proofErr w:type="spellEnd"/>
      <w:r>
        <w:rPr>
          <w:rFonts w:asciiTheme="minorHAnsi" w:hAnsiTheme="minorHAnsi" w:cs="Arial"/>
          <w:color w:val="000000" w:themeColor="text1"/>
        </w:rPr>
        <w:t>-Locke DL.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</w:t>
      </w:r>
      <w:hyperlink r:id="rId5" w:history="1">
        <w:proofErr w:type="gram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A novel technique for biliary polypectomy.</w:t>
        </w:r>
        <w:proofErr w:type="gramEnd"/>
      </w:hyperlink>
    </w:p>
    <w:p w:rsidR="00744C06" w:rsidRDefault="00744C06" w:rsidP="00744C06">
      <w:pPr>
        <w:pStyle w:val="details"/>
        <w:spacing w:before="0" w:beforeAutospacing="0" w:after="0" w:afterAutospacing="0"/>
        <w:rPr>
          <w:rFonts w:asciiTheme="minorHAnsi" w:eastAsia="Times New Roman" w:hAnsiTheme="minorHAnsi" w:cs="Arial"/>
          <w:color w:val="000000" w:themeColor="text1"/>
        </w:rPr>
      </w:pPr>
      <w:proofErr w:type="gramStart"/>
      <w:r>
        <w:rPr>
          <w:rStyle w:val="jrnl"/>
          <w:rFonts w:asciiTheme="minorHAnsi" w:hAnsiTheme="minorHAnsi" w:cs="Arial"/>
          <w:color w:val="000000" w:themeColor="text1"/>
        </w:rPr>
        <w:t>Endoscopy</w:t>
      </w:r>
      <w:r>
        <w:rPr>
          <w:rFonts w:asciiTheme="minorHAnsi" w:hAnsiTheme="minorHAnsi" w:cs="Arial"/>
          <w:color w:val="000000" w:themeColor="text1"/>
        </w:rPr>
        <w:t>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2017 Oct</w:t>
      </w:r>
      <w:proofErr w:type="gramStart"/>
      <w:r>
        <w:rPr>
          <w:rFonts w:asciiTheme="minorHAnsi" w:hAnsiTheme="minorHAnsi" w:cs="Arial"/>
          <w:color w:val="000000" w:themeColor="text1"/>
        </w:rPr>
        <w:t>;49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(10):E244-E245. </w:t>
      </w:r>
    </w:p>
    <w:p w:rsidR="00744C06" w:rsidRDefault="00744C06" w:rsidP="00744C06">
      <w:pPr>
        <w:rPr>
          <w:sz w:val="24"/>
          <w:szCs w:val="24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gramStart"/>
      <w:r>
        <w:rPr>
          <w:rFonts w:asciiTheme="minorHAnsi" w:hAnsiTheme="minorHAnsi" w:cs="Arial"/>
          <w:b/>
          <w:color w:val="000000" w:themeColor="text1"/>
        </w:rPr>
        <w:t xml:space="preserve">D'Souza LS, </w:t>
      </w:r>
      <w:proofErr w:type="spellStart"/>
      <w:r>
        <w:rPr>
          <w:rFonts w:asciiTheme="minorHAnsi" w:hAnsiTheme="minorHAnsi" w:cs="Arial"/>
          <w:b/>
          <w:color w:val="000000" w:themeColor="text1"/>
        </w:rPr>
        <w:t>Korman</w:t>
      </w:r>
      <w:proofErr w:type="spellEnd"/>
      <w:r>
        <w:rPr>
          <w:rFonts w:asciiTheme="minorHAnsi" w:hAnsiTheme="minorHAnsi" w:cs="Arial"/>
          <w:b/>
          <w:color w:val="000000" w:themeColor="text1"/>
        </w:rPr>
        <w:t xml:space="preserve"> A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Carr</w:t>
      </w:r>
      <w:proofErr w:type="spellEnd"/>
      <w:r>
        <w:rPr>
          <w:rFonts w:asciiTheme="minorHAnsi" w:hAnsiTheme="minorHAnsi" w:cs="Arial"/>
          <w:color w:val="000000" w:themeColor="text1"/>
        </w:rPr>
        <w:t>-Locke DL, Benias PC.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</w:t>
      </w:r>
      <w:hyperlink r:id="rId6" w:history="1">
        <w:proofErr w:type="gram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Percutaneous endoscopic </w:t>
        </w:r>
        <w:proofErr w:type="spell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necrosectomy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.</w:t>
        </w:r>
        <w:proofErr w:type="gramEnd"/>
      </w:hyperlink>
    </w:p>
    <w:p w:rsidR="00744C06" w:rsidRDefault="00744C06" w:rsidP="00744C06">
      <w:pPr>
        <w:pStyle w:val="details"/>
        <w:spacing w:before="0" w:beforeAutospacing="0" w:after="0" w:afterAutospacing="0"/>
        <w:rPr>
          <w:rFonts w:asciiTheme="minorHAnsi" w:eastAsia="Times New Roman" w:hAnsiTheme="minorHAnsi" w:cs="Arial"/>
          <w:color w:val="000000" w:themeColor="text1"/>
        </w:rPr>
      </w:pPr>
      <w:proofErr w:type="gramStart"/>
      <w:r>
        <w:rPr>
          <w:rStyle w:val="jrnl"/>
          <w:rFonts w:asciiTheme="minorHAnsi" w:hAnsiTheme="minorHAnsi" w:cs="Arial"/>
          <w:color w:val="000000" w:themeColor="text1"/>
        </w:rPr>
        <w:t>Endoscopy</w:t>
      </w:r>
      <w:r>
        <w:rPr>
          <w:rFonts w:asciiTheme="minorHAnsi" w:hAnsiTheme="minorHAnsi" w:cs="Arial"/>
          <w:color w:val="000000" w:themeColor="text1"/>
        </w:rPr>
        <w:t>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2017 Oct</w:t>
      </w:r>
      <w:proofErr w:type="gramStart"/>
      <w:r>
        <w:rPr>
          <w:rFonts w:asciiTheme="minorHAnsi" w:hAnsiTheme="minorHAnsi" w:cs="Arial"/>
          <w:color w:val="000000" w:themeColor="text1"/>
        </w:rPr>
        <w:t>;49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(10):E242-E243. </w:t>
      </w:r>
    </w:p>
    <w:p w:rsidR="00744C06" w:rsidRDefault="00744C06" w:rsidP="00744C06">
      <w:pPr>
        <w:rPr>
          <w:sz w:val="24"/>
          <w:szCs w:val="24"/>
        </w:rPr>
      </w:pPr>
    </w:p>
    <w:p w:rsidR="00744C06" w:rsidRDefault="00744C06" w:rsidP="00744C06">
      <w:pPr>
        <w:pStyle w:val="Title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Chaves DM, </w:t>
      </w:r>
      <w:proofErr w:type="spellStart"/>
      <w:r>
        <w:rPr>
          <w:rFonts w:asciiTheme="minorHAnsi" w:hAnsiTheme="minorHAnsi" w:cs="Arial"/>
          <w:color w:val="000000" w:themeColor="text1"/>
        </w:rPr>
        <w:t>Artifon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E, de Moura EG, </w:t>
      </w:r>
      <w:proofErr w:type="spellStart"/>
      <w:r>
        <w:rPr>
          <w:rFonts w:asciiTheme="minorHAnsi" w:hAnsiTheme="minorHAnsi" w:cs="Arial"/>
          <w:color w:val="000000" w:themeColor="text1"/>
        </w:rPr>
        <w:t>Kumbhari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V, Chavez YH, Bukhari M, </w:t>
      </w:r>
      <w:proofErr w:type="spellStart"/>
      <w:r>
        <w:rPr>
          <w:rFonts w:asciiTheme="minorHAnsi" w:hAnsiTheme="minorHAnsi" w:cs="Arial"/>
          <w:color w:val="000000" w:themeColor="text1"/>
        </w:rPr>
        <w:t>Hajiyeva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G, Ismail A, Chen YI, Chung </w:t>
      </w:r>
      <w:proofErr w:type="spellStart"/>
      <w:r>
        <w:rPr>
          <w:rFonts w:asciiTheme="minorHAnsi" w:hAnsiTheme="minorHAnsi" w:cs="Arial"/>
          <w:color w:val="000000" w:themeColor="text1"/>
        </w:rPr>
        <w:t>H.</w:t>
      </w:r>
      <w:hyperlink r:id="rId7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Gastric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per-oral endoscopic </w:t>
        </w:r>
        <w:proofErr w:type="spell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myotomy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for refractory gastroparesis: results from the first multicenter study on endoscopic </w:t>
        </w:r>
        <w:proofErr w:type="spell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pyloromyotomy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(with video).</w:t>
        </w:r>
      </w:hyperlink>
      <w:r>
        <w:rPr>
          <w:rFonts w:asciiTheme="minorHAnsi" w:hAnsiTheme="minorHAnsi" w:cs="Arial"/>
          <w:color w:val="000000" w:themeColor="text1"/>
        </w:rPr>
        <w:t xml:space="preserve">  </w:t>
      </w:r>
      <w:proofErr w:type="spellStart"/>
      <w:r>
        <w:rPr>
          <w:rFonts w:asciiTheme="minorHAnsi" w:hAnsiTheme="minorHAnsi" w:cs="Arial"/>
          <w:color w:val="000000" w:themeColor="text1"/>
        </w:rPr>
        <w:t>Khashab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MA, </w:t>
      </w:r>
      <w:proofErr w:type="spellStart"/>
      <w:r>
        <w:rPr>
          <w:rFonts w:asciiTheme="minorHAnsi" w:hAnsiTheme="minorHAnsi" w:cs="Arial"/>
          <w:color w:val="000000" w:themeColor="text1"/>
        </w:rPr>
        <w:t>Ngamruengphong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S, </w:t>
      </w:r>
      <w:proofErr w:type="spellStart"/>
      <w:r>
        <w:rPr>
          <w:rFonts w:asciiTheme="minorHAnsi" w:hAnsiTheme="minorHAnsi" w:cs="Arial"/>
          <w:color w:val="000000" w:themeColor="text1"/>
        </w:rPr>
        <w:t>Carr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-Locke D, </w:t>
      </w:r>
      <w:proofErr w:type="spellStart"/>
      <w:r>
        <w:rPr>
          <w:rFonts w:asciiTheme="minorHAnsi" w:hAnsiTheme="minorHAnsi" w:cs="Arial"/>
          <w:color w:val="000000" w:themeColor="text1"/>
        </w:rPr>
        <w:t>Bapaye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A, Benias PC,</w:t>
      </w:r>
      <w:r>
        <w:rPr>
          <w:rStyle w:val="apple-converted-space"/>
          <w:rFonts w:asciiTheme="minorHAnsi" w:hAnsiTheme="minorHAnsi" w:cs="Arial"/>
          <w:color w:val="000000" w:themeColor="text1"/>
        </w:rPr>
        <w:t> </w:t>
      </w:r>
      <w:proofErr w:type="spellStart"/>
      <w:r>
        <w:rPr>
          <w:rFonts w:asciiTheme="minorHAnsi" w:hAnsiTheme="minorHAnsi" w:cs="Arial"/>
          <w:b/>
          <w:bCs/>
          <w:color w:val="000000" w:themeColor="text1"/>
        </w:rPr>
        <w:t>Serouya</w:t>
      </w:r>
      <w:proofErr w:type="spellEnd"/>
      <w:r>
        <w:rPr>
          <w:rFonts w:asciiTheme="minorHAnsi" w:hAnsiTheme="minorHAnsi" w:cs="Arial"/>
          <w:b/>
          <w:bCs/>
          <w:color w:val="000000" w:themeColor="text1"/>
        </w:rPr>
        <w:t xml:space="preserve"> S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Dorwat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S, 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Gastrointest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Endosc</w:t>
      </w:r>
      <w:proofErr w:type="spellEnd"/>
      <w:r>
        <w:rPr>
          <w:rFonts w:asciiTheme="minorHAnsi" w:hAnsiTheme="minorHAnsi" w:cs="Arial"/>
          <w:color w:val="000000" w:themeColor="text1"/>
        </w:rPr>
        <w:t>. 2017 Jan</w:t>
      </w:r>
      <w:proofErr w:type="gramStart"/>
      <w:r>
        <w:rPr>
          <w:rFonts w:asciiTheme="minorHAnsi" w:hAnsiTheme="minorHAnsi" w:cs="Arial"/>
          <w:color w:val="000000" w:themeColor="text1"/>
        </w:rPr>
        <w:t>;85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(1):123-128. </w:t>
      </w:r>
    </w:p>
    <w:p w:rsidR="00744C06" w:rsidRDefault="00744C06" w:rsidP="00744C06">
      <w:pPr>
        <w:pStyle w:val="Title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b/>
          <w:bCs/>
          <w:color w:val="000000" w:themeColor="text1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r>
        <w:rPr>
          <w:rFonts w:asciiTheme="minorHAnsi" w:hAnsiTheme="minorHAnsi" w:cs="Arial"/>
          <w:b/>
          <w:bCs/>
          <w:color w:val="000000" w:themeColor="text1"/>
        </w:rPr>
        <w:t>Hershman</w:t>
      </w:r>
      <w:proofErr w:type="spellEnd"/>
      <w:r>
        <w:rPr>
          <w:rFonts w:asciiTheme="minorHAnsi" w:hAnsiTheme="minorHAnsi" w:cs="Arial"/>
          <w:b/>
          <w:bCs/>
          <w:color w:val="000000" w:themeColor="text1"/>
        </w:rPr>
        <w:t xml:space="preserve"> M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Alizadeh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A, </w:t>
      </w:r>
      <w:proofErr w:type="spellStart"/>
      <w:r>
        <w:rPr>
          <w:rFonts w:asciiTheme="minorHAnsi" w:hAnsiTheme="minorHAnsi" w:cs="Arial"/>
          <w:color w:val="000000" w:themeColor="text1"/>
        </w:rPr>
        <w:t>Swaminath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A. </w:t>
      </w:r>
      <w:hyperlink r:id="rId8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Radiology Prep to the Rescue: Radiocontrast Enema </w:t>
        </w:r>
        <w:proofErr w:type="gram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After</w:t>
        </w:r>
        <w:proofErr w:type="gram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Failure of Oral Bowel Preparation for Patients with an </w:t>
        </w:r>
        <w:proofErr w:type="spell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Ileocolonic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Fistula.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proofErr w:type="gramStart"/>
      <w:r>
        <w:rPr>
          <w:rStyle w:val="jrnl"/>
          <w:rFonts w:asciiTheme="minorHAnsi" w:hAnsiTheme="minorHAnsi" w:cs="Arial"/>
          <w:color w:val="000000" w:themeColor="text1"/>
        </w:rPr>
        <w:t xml:space="preserve">Am J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Gastroenterol</w:t>
      </w:r>
      <w:proofErr w:type="spellEnd"/>
      <w:r>
        <w:rPr>
          <w:rFonts w:asciiTheme="minorHAnsi" w:hAnsiTheme="minorHAnsi" w:cs="Arial"/>
          <w:color w:val="000000" w:themeColor="text1"/>
        </w:rPr>
        <w:t>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2017 Sep</w:t>
      </w:r>
      <w:proofErr w:type="gramStart"/>
      <w:r>
        <w:rPr>
          <w:rFonts w:asciiTheme="minorHAnsi" w:hAnsiTheme="minorHAnsi" w:cs="Arial"/>
          <w:color w:val="000000" w:themeColor="text1"/>
        </w:rPr>
        <w:t>;112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(9):1363. </w:t>
      </w:r>
    </w:p>
    <w:p w:rsidR="00744C06" w:rsidRDefault="00744C06" w:rsidP="00744C06">
      <w:pPr>
        <w:pStyle w:val="Title"/>
        <w:spacing w:before="0" w:beforeAutospacing="0" w:after="0" w:afterAutospacing="0"/>
        <w:rPr>
          <w:rFonts w:asciiTheme="minorHAnsi" w:eastAsia="Times New Roman" w:hAnsiTheme="minorHAnsi" w:cs="Arial"/>
          <w:color w:val="000000" w:themeColor="text1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r>
        <w:rPr>
          <w:rFonts w:asciiTheme="minorHAnsi" w:hAnsiTheme="minorHAnsi" w:cs="Arial"/>
          <w:b/>
          <w:bCs/>
          <w:color w:val="000000" w:themeColor="text1"/>
        </w:rPr>
        <w:t>Hershman</w:t>
      </w:r>
      <w:proofErr w:type="spellEnd"/>
      <w:r>
        <w:rPr>
          <w:rFonts w:asciiTheme="minorHAnsi" w:hAnsiTheme="minorHAnsi" w:cs="Arial"/>
          <w:b/>
          <w:bCs/>
          <w:color w:val="000000" w:themeColor="text1"/>
        </w:rPr>
        <w:t xml:space="preserve"> M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Shamah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S, </w:t>
      </w:r>
      <w:proofErr w:type="spellStart"/>
      <w:r>
        <w:rPr>
          <w:rFonts w:asciiTheme="minorHAnsi" w:hAnsiTheme="minorHAnsi" w:cs="Arial"/>
          <w:color w:val="000000" w:themeColor="text1"/>
        </w:rPr>
        <w:t>Mudireddy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P, Glick M. </w:t>
      </w:r>
      <w:hyperlink r:id="rId9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Pointing towards colonoscopy: sharp foreign body removal via colonoscopy.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r>
        <w:rPr>
          <w:rStyle w:val="jrnl"/>
          <w:rFonts w:asciiTheme="minorHAnsi" w:hAnsiTheme="minorHAnsi" w:cs="Arial"/>
          <w:color w:val="000000" w:themeColor="text1"/>
        </w:rPr>
        <w:t xml:space="preserve">Ann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Gastroenterol</w:t>
      </w:r>
      <w:proofErr w:type="spellEnd"/>
      <w:r>
        <w:rPr>
          <w:rFonts w:asciiTheme="minorHAnsi" w:hAnsiTheme="minorHAnsi" w:cs="Arial"/>
          <w:color w:val="000000" w:themeColor="text1"/>
        </w:rPr>
        <w:t>. 2017</w:t>
      </w:r>
      <w:proofErr w:type="gramStart"/>
      <w:r>
        <w:rPr>
          <w:rFonts w:asciiTheme="minorHAnsi" w:hAnsiTheme="minorHAnsi" w:cs="Arial"/>
          <w:color w:val="000000" w:themeColor="text1"/>
        </w:rPr>
        <w:t>;30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(2):254-256. </w:t>
      </w:r>
    </w:p>
    <w:p w:rsidR="00744C06" w:rsidRDefault="00744C06" w:rsidP="00744C06">
      <w:pPr>
        <w:pStyle w:val="Title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Herman M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Okoji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O, Castaneda D, </w:t>
      </w:r>
      <w:proofErr w:type="spellStart"/>
      <w:r>
        <w:rPr>
          <w:rFonts w:asciiTheme="minorHAnsi" w:hAnsiTheme="minorHAnsi" w:cs="Arial"/>
          <w:color w:val="000000" w:themeColor="text1"/>
        </w:rPr>
        <w:t>Jirru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E, </w:t>
      </w:r>
      <w:proofErr w:type="gramStart"/>
      <w:r>
        <w:rPr>
          <w:rFonts w:asciiTheme="minorHAnsi" w:hAnsiTheme="minorHAnsi" w:cs="Arial"/>
          <w:color w:val="000000" w:themeColor="text1"/>
        </w:rPr>
        <w:t>Kotler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D. </w:t>
      </w:r>
      <w:hyperlink r:id="rId10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Letter: APRI and FIB-4 do not correlate with </w:t>
        </w:r>
        <w:proofErr w:type="spell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Fibrosure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in the evaluation of liver fibrosis in hepatitis C patients.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r>
        <w:rPr>
          <w:rStyle w:val="jrnl"/>
          <w:rFonts w:asciiTheme="minorHAnsi" w:hAnsiTheme="minorHAnsi" w:cs="Arial"/>
          <w:color w:val="000000" w:themeColor="text1"/>
        </w:rPr>
        <w:t xml:space="preserve">Aliment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Pharmacol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Ther</w:t>
      </w:r>
      <w:proofErr w:type="spellEnd"/>
      <w:r>
        <w:rPr>
          <w:rFonts w:asciiTheme="minorHAnsi" w:hAnsiTheme="minorHAnsi" w:cs="Arial"/>
          <w:color w:val="000000" w:themeColor="text1"/>
        </w:rPr>
        <w:t>. 2017 Jan</w:t>
      </w:r>
      <w:proofErr w:type="gramStart"/>
      <w:r>
        <w:rPr>
          <w:rFonts w:asciiTheme="minorHAnsi" w:hAnsiTheme="minorHAnsi" w:cs="Arial"/>
          <w:color w:val="000000" w:themeColor="text1"/>
        </w:rPr>
        <w:t>;45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(1):190-191. </w:t>
      </w: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:rsidR="00744C06" w:rsidRDefault="00744C06" w:rsidP="00744C06">
      <w:pPr>
        <w:spacing w:line="336" w:lineRule="atLeast"/>
        <w:ind w:right="225"/>
        <w:rPr>
          <w:rFonts w:ascii="Arial" w:eastAsia="Times New Roman" w:hAnsi="Arial" w:cs="Arial"/>
          <w:color w:val="575757"/>
        </w:rPr>
      </w:pPr>
      <w:proofErr w:type="gramStart"/>
      <w:r>
        <w:rPr>
          <w:rFonts w:cs="Arial"/>
          <w:color w:val="000000" w:themeColor="text1"/>
          <w:sz w:val="24"/>
          <w:szCs w:val="24"/>
        </w:rPr>
        <w:t>Wang LS,</w:t>
      </w:r>
      <w:r>
        <w:rPr>
          <w:rStyle w:val="apple-converted-space"/>
          <w:rFonts w:cs="Arial"/>
          <w:color w:val="000000" w:themeColor="text1"/>
          <w:sz w:val="24"/>
          <w:szCs w:val="24"/>
        </w:rPr>
        <w:t> </w:t>
      </w:r>
      <w:r>
        <w:rPr>
          <w:rFonts w:cs="Arial"/>
          <w:b/>
          <w:bCs/>
          <w:color w:val="000000" w:themeColor="text1"/>
          <w:sz w:val="24"/>
          <w:szCs w:val="24"/>
        </w:rPr>
        <w:t>D'Souza LS</w:t>
      </w:r>
      <w:r>
        <w:rPr>
          <w:rFonts w:cs="Arial"/>
          <w:color w:val="000000" w:themeColor="text1"/>
          <w:sz w:val="24"/>
          <w:szCs w:val="24"/>
        </w:rPr>
        <w:t>, Jacobson IM.</w:t>
      </w:r>
      <w:proofErr w:type="gramEnd"/>
      <w:r>
        <w:rPr>
          <w:rStyle w:val="apple-converted-space"/>
          <w:rFonts w:ascii="Arial" w:eastAsia="Times New Roman" w:hAnsi="Arial" w:cs="Arial"/>
          <w:color w:val="575757"/>
        </w:rPr>
        <w:t xml:space="preserve">  </w:t>
      </w:r>
      <w:hyperlink r:id="rId11" w:history="1">
        <w:proofErr w:type="gramStart"/>
        <w:r>
          <w:rPr>
            <w:rStyle w:val="Hyperlink"/>
            <w:rFonts w:cs="Arial"/>
            <w:color w:val="000000" w:themeColor="text1"/>
            <w:sz w:val="24"/>
            <w:szCs w:val="24"/>
            <w:u w:val="none"/>
          </w:rPr>
          <w:t>Hepatitis C-A clinical review.</w:t>
        </w:r>
        <w:proofErr w:type="gramEnd"/>
      </w:hyperlink>
      <w:r>
        <w:rPr>
          <w:rFonts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Style w:val="jrnl"/>
          <w:rFonts w:cs="Arial"/>
          <w:color w:val="000000" w:themeColor="text1"/>
          <w:sz w:val="24"/>
          <w:szCs w:val="24"/>
        </w:rPr>
        <w:t xml:space="preserve">J Med </w:t>
      </w:r>
      <w:proofErr w:type="spellStart"/>
      <w:r>
        <w:rPr>
          <w:rStyle w:val="jrnl"/>
          <w:rFonts w:cs="Arial"/>
          <w:color w:val="000000" w:themeColor="text1"/>
          <w:sz w:val="24"/>
          <w:szCs w:val="24"/>
        </w:rPr>
        <w:t>Virol</w:t>
      </w:r>
      <w:proofErr w:type="spellEnd"/>
      <w:r>
        <w:rPr>
          <w:rFonts w:cs="Arial"/>
          <w:color w:val="000000" w:themeColor="text1"/>
          <w:sz w:val="24"/>
          <w:szCs w:val="24"/>
        </w:rPr>
        <w:t>.</w:t>
      </w:r>
      <w:proofErr w:type="gramEnd"/>
      <w:r>
        <w:rPr>
          <w:rFonts w:cs="Arial"/>
          <w:color w:val="000000" w:themeColor="text1"/>
          <w:sz w:val="24"/>
          <w:szCs w:val="24"/>
        </w:rPr>
        <w:t xml:space="preserve"> 2016 Nov</w:t>
      </w:r>
      <w:proofErr w:type="gramStart"/>
      <w:r>
        <w:rPr>
          <w:rFonts w:cs="Arial"/>
          <w:color w:val="000000" w:themeColor="text1"/>
          <w:sz w:val="24"/>
          <w:szCs w:val="24"/>
        </w:rPr>
        <w:t>;88</w:t>
      </w:r>
      <w:proofErr w:type="gramEnd"/>
      <w:r>
        <w:rPr>
          <w:rFonts w:cs="Arial"/>
          <w:color w:val="000000" w:themeColor="text1"/>
          <w:sz w:val="24"/>
          <w:szCs w:val="24"/>
        </w:rPr>
        <w:t xml:space="preserve">(11):1844-55. </w:t>
      </w:r>
    </w:p>
    <w:p w:rsidR="00744C06" w:rsidRDefault="00744C06" w:rsidP="00744C06">
      <w:pPr>
        <w:pStyle w:val="desc"/>
        <w:spacing w:before="0" w:beforeAutospacing="0" w:after="0" w:afterAutospacing="0"/>
        <w:rPr>
          <w:rStyle w:val="apple-converted-space"/>
          <w:rFonts w:asciiTheme="minorHAnsi" w:hAnsiTheme="minorHAnsi"/>
          <w:color w:val="000000" w:themeColor="text1"/>
        </w:rPr>
      </w:pPr>
    </w:p>
    <w:p w:rsidR="00744C06" w:rsidRDefault="00744C06" w:rsidP="00744C06">
      <w:pPr>
        <w:pStyle w:val="desc"/>
        <w:spacing w:before="0" w:beforeAutospacing="0" w:after="0" w:afterAutospacing="0"/>
      </w:pPr>
      <w:proofErr w:type="spellStart"/>
      <w:r>
        <w:rPr>
          <w:rFonts w:asciiTheme="minorHAnsi" w:hAnsiTheme="minorHAnsi" w:cs="Arial"/>
          <w:b/>
          <w:bCs/>
          <w:color w:val="000000" w:themeColor="text1"/>
        </w:rPr>
        <w:t>Korrapati</w:t>
      </w:r>
      <w:proofErr w:type="spellEnd"/>
      <w:r>
        <w:rPr>
          <w:rFonts w:asciiTheme="minorHAnsi" w:hAnsiTheme="minorHAnsi" w:cs="Arial"/>
          <w:b/>
          <w:bCs/>
          <w:color w:val="000000" w:themeColor="text1"/>
        </w:rPr>
        <w:t xml:space="preserve"> P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Ciolino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J, </w:t>
      </w:r>
      <w:proofErr w:type="spellStart"/>
      <w:r>
        <w:rPr>
          <w:rFonts w:asciiTheme="minorHAnsi" w:hAnsiTheme="minorHAnsi" w:cs="Arial"/>
          <w:color w:val="000000" w:themeColor="text1"/>
        </w:rPr>
        <w:t>Wani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S, Shah J, Watson R, Muthusamy VR, </w:t>
      </w:r>
      <w:proofErr w:type="spellStart"/>
      <w:r>
        <w:rPr>
          <w:rFonts w:asciiTheme="minorHAnsi" w:hAnsiTheme="minorHAnsi" w:cs="Arial"/>
          <w:color w:val="000000" w:themeColor="text1"/>
        </w:rPr>
        <w:t>Klapman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J, </w:t>
      </w:r>
      <w:proofErr w:type="spellStart"/>
      <w:r>
        <w:rPr>
          <w:rFonts w:asciiTheme="minorHAnsi" w:hAnsiTheme="minorHAnsi" w:cs="Arial"/>
          <w:color w:val="000000" w:themeColor="text1"/>
        </w:rPr>
        <w:t>Komanduri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S.</w:t>
      </w:r>
    </w:p>
    <w:p w:rsidR="00744C06" w:rsidRDefault="00744C06" w:rsidP="00744C06">
      <w:pPr>
        <w:pStyle w:val="Title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hyperlink r:id="rId12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The efficacy of </w:t>
        </w:r>
        <w:proofErr w:type="spell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peroral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</w:t>
        </w:r>
        <w:proofErr w:type="spell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cholangioscopy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for difficult bile duct stones and indeterminate strictures: a systematic review and meta-analysis.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proofErr w:type="gramStart"/>
      <w:r>
        <w:rPr>
          <w:rStyle w:val="jrnl"/>
          <w:rFonts w:asciiTheme="minorHAnsi" w:hAnsiTheme="minorHAnsi" w:cs="Arial"/>
          <w:color w:val="000000" w:themeColor="text1"/>
        </w:rPr>
        <w:t>Endosc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Int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Open</w:t>
      </w:r>
      <w:r>
        <w:rPr>
          <w:rFonts w:asciiTheme="minorHAnsi" w:hAnsiTheme="minorHAnsi" w:cs="Arial"/>
          <w:color w:val="000000" w:themeColor="text1"/>
        </w:rPr>
        <w:t>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2016 Mar</w:t>
      </w:r>
      <w:proofErr w:type="gramStart"/>
      <w:r>
        <w:rPr>
          <w:rFonts w:asciiTheme="minorHAnsi" w:hAnsiTheme="minorHAnsi" w:cs="Arial"/>
          <w:color w:val="000000" w:themeColor="text1"/>
        </w:rPr>
        <w:t>;4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(3):E263-75. </w:t>
      </w:r>
    </w:p>
    <w:p w:rsidR="00744C06" w:rsidRDefault="00744C06" w:rsidP="00744C06">
      <w:pPr>
        <w:spacing w:line="336" w:lineRule="atLeast"/>
        <w:ind w:right="225"/>
        <w:rPr>
          <w:rFonts w:ascii="Arial" w:eastAsia="Times New Roman" w:hAnsi="Arial" w:cs="Arial"/>
          <w:color w:val="575757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proofErr w:type="gramStart"/>
      <w:r>
        <w:rPr>
          <w:rFonts w:asciiTheme="minorHAnsi" w:hAnsiTheme="minorHAnsi" w:cs="Arial"/>
          <w:color w:val="000000" w:themeColor="text1"/>
        </w:rPr>
        <w:lastRenderedPageBreak/>
        <w:t>Waintraub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DJ,</w:t>
      </w:r>
      <w:r>
        <w:rPr>
          <w:rStyle w:val="apple-converted-space"/>
          <w:rFonts w:asciiTheme="minorHAnsi" w:hAnsiTheme="minorHAnsi" w:cs="Arial"/>
          <w:color w:val="000000" w:themeColor="text1"/>
        </w:rPr>
        <w:t> </w:t>
      </w:r>
      <w:proofErr w:type="spellStart"/>
      <w:r>
        <w:rPr>
          <w:rFonts w:asciiTheme="minorHAnsi" w:hAnsiTheme="minorHAnsi" w:cs="Arial"/>
          <w:b/>
          <w:bCs/>
          <w:color w:val="000000" w:themeColor="text1"/>
        </w:rPr>
        <w:t>Serouya</w:t>
      </w:r>
      <w:proofErr w:type="spellEnd"/>
      <w:r>
        <w:rPr>
          <w:rFonts w:asciiTheme="minorHAnsi" w:hAnsiTheme="minorHAnsi" w:cs="Arial"/>
          <w:b/>
          <w:bCs/>
          <w:color w:val="000000" w:themeColor="text1"/>
        </w:rPr>
        <w:t xml:space="preserve"> S</w:t>
      </w:r>
      <w:r>
        <w:rPr>
          <w:rFonts w:asciiTheme="minorHAnsi" w:hAnsiTheme="minorHAnsi" w:cs="Arial"/>
          <w:color w:val="000000" w:themeColor="text1"/>
        </w:rPr>
        <w:t>, Wang LS.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</w:t>
      </w:r>
      <w:proofErr w:type="gramStart"/>
      <w:r>
        <w:rPr>
          <w:rFonts w:asciiTheme="minorHAnsi" w:hAnsiTheme="minorHAnsi" w:cs="Arial"/>
          <w:color w:val="000000" w:themeColor="text1"/>
        </w:rPr>
        <w:t>An incidental Finding of Esophageal Parakeratosis.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Clin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Gastroenterol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Hepatol</w:t>
      </w:r>
      <w:proofErr w:type="spellEnd"/>
      <w:r>
        <w:rPr>
          <w:rFonts w:asciiTheme="minorHAnsi" w:hAnsiTheme="minorHAnsi" w:cs="Arial"/>
          <w:color w:val="000000" w:themeColor="text1"/>
        </w:rPr>
        <w:t>. 2016 Feb</w:t>
      </w:r>
      <w:proofErr w:type="gramStart"/>
      <w:r>
        <w:rPr>
          <w:rFonts w:asciiTheme="minorHAnsi" w:hAnsiTheme="minorHAnsi" w:cs="Arial"/>
          <w:color w:val="000000" w:themeColor="text1"/>
        </w:rPr>
        <w:t>;14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(2):A23. </w:t>
      </w:r>
    </w:p>
    <w:p w:rsidR="00744C06" w:rsidRDefault="00744C06" w:rsidP="00744C06">
      <w:pPr>
        <w:rPr>
          <w:color w:val="000000" w:themeColor="text1"/>
          <w:sz w:val="24"/>
          <w:szCs w:val="24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proofErr w:type="gramStart"/>
      <w:r>
        <w:rPr>
          <w:rFonts w:asciiTheme="minorHAnsi" w:hAnsiTheme="minorHAnsi" w:cs="Arial"/>
          <w:color w:val="000000" w:themeColor="text1"/>
        </w:rPr>
        <w:t>Waintraub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DJ, </w:t>
      </w:r>
      <w:r>
        <w:rPr>
          <w:rFonts w:asciiTheme="minorHAnsi" w:hAnsiTheme="minorHAnsi" w:cs="Arial"/>
          <w:b/>
          <w:color w:val="000000" w:themeColor="text1"/>
        </w:rPr>
        <w:t>D'Souza LS,</w:t>
      </w:r>
      <w:r>
        <w:rPr>
          <w:rFonts w:asciiTheme="minorHAnsi" w:hAnsiTheme="minorHAnsi" w:cs="Arial"/>
          <w:color w:val="000000" w:themeColor="text1"/>
        </w:rPr>
        <w:t xml:space="preserve"> Madrigal E, </w:t>
      </w:r>
      <w:proofErr w:type="spellStart"/>
      <w:r>
        <w:rPr>
          <w:rFonts w:asciiTheme="minorHAnsi" w:hAnsiTheme="minorHAnsi" w:cs="Arial"/>
          <w:color w:val="000000" w:themeColor="text1"/>
        </w:rPr>
        <w:t>Harshan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M, </w:t>
      </w:r>
      <w:proofErr w:type="spellStart"/>
      <w:r>
        <w:rPr>
          <w:rFonts w:asciiTheme="minorHAnsi" w:hAnsiTheme="minorHAnsi" w:cs="Arial"/>
          <w:color w:val="000000" w:themeColor="text1"/>
        </w:rPr>
        <w:t>Ascunce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GI.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</w:t>
      </w:r>
      <w:hyperlink r:id="rId13" w:history="1">
        <w:proofErr w:type="gram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A Rare Case of Isolated Pancreatic Tuberculosis.</w:t>
        </w:r>
        <w:proofErr w:type="gramEnd"/>
      </w:hyperlink>
      <w:r>
        <w:rPr>
          <w:rFonts w:asciiTheme="minorHAnsi" w:hAnsiTheme="minorHAnsi" w:cs="Arial"/>
          <w:color w:val="000000" w:themeColor="text1"/>
        </w:rPr>
        <w:t xml:space="preserve"> </w:t>
      </w:r>
      <w:r>
        <w:rPr>
          <w:rStyle w:val="jrnl"/>
          <w:rFonts w:asciiTheme="minorHAnsi" w:hAnsiTheme="minorHAnsi" w:cs="Arial"/>
          <w:color w:val="000000" w:themeColor="text1"/>
        </w:rPr>
        <w:t>ACG Case Rep J</w:t>
      </w:r>
      <w:r>
        <w:rPr>
          <w:rFonts w:asciiTheme="minorHAnsi" w:hAnsiTheme="minorHAnsi" w:cs="Arial"/>
          <w:color w:val="000000" w:themeColor="text1"/>
        </w:rPr>
        <w:t>. 2016 Jul 27</w:t>
      </w:r>
      <w:proofErr w:type="gramStart"/>
      <w:r>
        <w:rPr>
          <w:rFonts w:asciiTheme="minorHAnsi" w:hAnsiTheme="minorHAnsi" w:cs="Arial"/>
          <w:color w:val="000000" w:themeColor="text1"/>
        </w:rPr>
        <w:t>;3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(4):e91. </w:t>
      </w:r>
    </w:p>
    <w:p w:rsidR="00744C06" w:rsidRDefault="00744C06" w:rsidP="00744C06">
      <w:pPr>
        <w:spacing w:line="336" w:lineRule="atLeast"/>
        <w:ind w:right="225"/>
        <w:rPr>
          <w:rFonts w:eastAsia="Times New Roman" w:cs="Arial"/>
          <w:color w:val="000000" w:themeColor="text1"/>
          <w:sz w:val="24"/>
          <w:szCs w:val="24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r>
        <w:rPr>
          <w:rFonts w:asciiTheme="minorHAnsi" w:hAnsiTheme="minorHAnsi" w:cs="Arial"/>
          <w:color w:val="000000" w:themeColor="text1"/>
        </w:rPr>
        <w:t>Waintraub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DJ, </w:t>
      </w:r>
      <w:r>
        <w:rPr>
          <w:rFonts w:asciiTheme="minorHAnsi" w:hAnsiTheme="minorHAnsi" w:cs="Arial"/>
          <w:b/>
          <w:color w:val="000000" w:themeColor="text1"/>
        </w:rPr>
        <w:t>D'Souza LS,</w:t>
      </w:r>
      <w:r>
        <w:rPr>
          <w:rFonts w:asciiTheme="minorHAnsi" w:hAnsiTheme="minorHAnsi" w:cs="Arial"/>
          <w:color w:val="000000" w:themeColor="text1"/>
        </w:rPr>
        <w:t xml:space="preserve"> Madrigal E, </w:t>
      </w:r>
      <w:proofErr w:type="spellStart"/>
      <w:r>
        <w:rPr>
          <w:rFonts w:asciiTheme="minorHAnsi" w:hAnsiTheme="minorHAnsi" w:cs="Arial"/>
          <w:color w:val="000000" w:themeColor="text1"/>
        </w:rPr>
        <w:t>Theise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ND, McCabe EJ, Bratcher J. </w:t>
      </w:r>
      <w:hyperlink r:id="rId14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Toothpick Ingestion Causing Gastric Submucosal Mass and Abscess.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r>
        <w:rPr>
          <w:rStyle w:val="jrnl"/>
          <w:rFonts w:asciiTheme="minorHAnsi" w:hAnsiTheme="minorHAnsi" w:cs="Arial"/>
          <w:color w:val="000000" w:themeColor="text1"/>
        </w:rPr>
        <w:t>ACG Case Rep J</w:t>
      </w:r>
      <w:r>
        <w:rPr>
          <w:rFonts w:asciiTheme="minorHAnsi" w:hAnsiTheme="minorHAnsi" w:cs="Arial"/>
          <w:color w:val="000000" w:themeColor="text1"/>
        </w:rPr>
        <w:t>. 2016 Aug 31</w:t>
      </w:r>
      <w:proofErr w:type="gramStart"/>
      <w:r>
        <w:rPr>
          <w:rFonts w:asciiTheme="minorHAnsi" w:hAnsiTheme="minorHAnsi" w:cs="Arial"/>
          <w:color w:val="000000" w:themeColor="text1"/>
        </w:rPr>
        <w:t>;3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(4):e113. </w:t>
      </w:r>
    </w:p>
    <w:p w:rsidR="00744C06" w:rsidRDefault="00744C06" w:rsidP="00744C06">
      <w:pPr>
        <w:spacing w:line="336" w:lineRule="atLeast"/>
        <w:rPr>
          <w:rFonts w:eastAsia="Times New Roman" w:cs="Times New Roman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Benias PC, </w:t>
      </w:r>
      <w:r>
        <w:rPr>
          <w:rFonts w:asciiTheme="minorHAnsi" w:hAnsiTheme="minorHAnsi" w:cs="Arial"/>
          <w:b/>
          <w:color w:val="000000" w:themeColor="text1"/>
        </w:rPr>
        <w:t>D'Souza LS,</w:t>
      </w:r>
      <w:r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Fonts w:asciiTheme="minorHAnsi" w:hAnsiTheme="minorHAnsi" w:cs="Arial"/>
          <w:color w:val="000000" w:themeColor="text1"/>
        </w:rPr>
        <w:t>Papafragkakis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H, Kim J, </w:t>
      </w:r>
      <w:proofErr w:type="spellStart"/>
      <w:r>
        <w:rPr>
          <w:rFonts w:asciiTheme="minorHAnsi" w:hAnsiTheme="minorHAnsi" w:cs="Arial"/>
          <w:color w:val="000000" w:themeColor="text1"/>
        </w:rPr>
        <w:t>Harshan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M, </w:t>
      </w:r>
      <w:proofErr w:type="spellStart"/>
      <w:r>
        <w:rPr>
          <w:rFonts w:asciiTheme="minorHAnsi" w:hAnsiTheme="minorHAnsi" w:cs="Arial"/>
          <w:color w:val="000000" w:themeColor="text1"/>
        </w:rPr>
        <w:t>Theise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ND, </w:t>
      </w:r>
      <w:proofErr w:type="spellStart"/>
      <w:r>
        <w:rPr>
          <w:rFonts w:asciiTheme="minorHAnsi" w:hAnsiTheme="minorHAnsi" w:cs="Arial"/>
          <w:color w:val="000000" w:themeColor="text1"/>
        </w:rPr>
        <w:t>Carr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-Locke DL. </w:t>
      </w:r>
      <w:hyperlink r:id="rId15" w:history="1">
        <w:proofErr w:type="gram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Needle-based confocal </w:t>
        </w:r>
        <w:proofErr w:type="spell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endomicroscopy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for evaluation of malignant lymph nodes - a feasibility study.</w:t>
        </w:r>
        <w:proofErr w:type="gramEnd"/>
      </w:hyperlink>
      <w:r>
        <w:rPr>
          <w:rFonts w:asciiTheme="minorHAnsi" w:hAnsiTheme="minorHAnsi" w:cs="Arial"/>
          <w:color w:val="000000" w:themeColor="text1"/>
        </w:rPr>
        <w:t xml:space="preserve"> </w:t>
      </w:r>
      <w:proofErr w:type="gramStart"/>
      <w:r>
        <w:rPr>
          <w:rStyle w:val="jrnl"/>
          <w:rFonts w:asciiTheme="minorHAnsi" w:hAnsiTheme="minorHAnsi" w:cs="Arial"/>
          <w:color w:val="000000" w:themeColor="text1"/>
        </w:rPr>
        <w:t>Endoscopy</w:t>
      </w:r>
      <w:r>
        <w:rPr>
          <w:rFonts w:asciiTheme="minorHAnsi" w:hAnsiTheme="minorHAnsi" w:cs="Arial"/>
          <w:color w:val="000000" w:themeColor="text1"/>
        </w:rPr>
        <w:t>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2016 Oct</w:t>
      </w:r>
      <w:proofErr w:type="gramStart"/>
      <w:r>
        <w:rPr>
          <w:rFonts w:asciiTheme="minorHAnsi" w:hAnsiTheme="minorHAnsi" w:cs="Arial"/>
          <w:color w:val="000000" w:themeColor="text1"/>
        </w:rPr>
        <w:t>;48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(10):923-8. </w:t>
      </w:r>
    </w:p>
    <w:p w:rsidR="00744C06" w:rsidRDefault="00744C06" w:rsidP="00744C06">
      <w:pPr>
        <w:spacing w:line="336" w:lineRule="atLeast"/>
        <w:rPr>
          <w:rFonts w:ascii="Times New Roman" w:eastAsia="Times New Roman" w:hAnsi="Times New Roman" w:cs="Times New Roman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proofErr w:type="gramStart"/>
      <w:r>
        <w:rPr>
          <w:rFonts w:asciiTheme="minorHAnsi" w:hAnsiTheme="minorHAnsi" w:cs="Arial"/>
          <w:color w:val="000000" w:themeColor="text1"/>
        </w:rPr>
        <w:t>Pinn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DM,</w:t>
      </w:r>
      <w:r>
        <w:rPr>
          <w:rStyle w:val="apple-converted-space"/>
          <w:rFonts w:asciiTheme="minorHAnsi" w:hAnsiTheme="minorHAnsi" w:cs="Arial"/>
          <w:color w:val="000000" w:themeColor="text1"/>
        </w:rPr>
        <w:t> </w:t>
      </w:r>
      <w:r>
        <w:rPr>
          <w:rFonts w:asciiTheme="minorHAnsi" w:hAnsiTheme="minorHAnsi" w:cs="Arial"/>
          <w:b/>
          <w:bCs/>
          <w:color w:val="000000" w:themeColor="text1"/>
        </w:rPr>
        <w:t>D'Souza LS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Mannan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AA, Benias P, </w:t>
      </w:r>
      <w:proofErr w:type="spellStart"/>
      <w:r>
        <w:rPr>
          <w:rFonts w:asciiTheme="minorHAnsi" w:hAnsiTheme="minorHAnsi" w:cs="Arial"/>
          <w:color w:val="000000" w:themeColor="text1"/>
        </w:rPr>
        <w:t>Carr</w:t>
      </w:r>
      <w:proofErr w:type="spellEnd"/>
      <w:r>
        <w:rPr>
          <w:rFonts w:asciiTheme="minorHAnsi" w:hAnsiTheme="minorHAnsi" w:cs="Arial"/>
          <w:color w:val="000000" w:themeColor="text1"/>
        </w:rPr>
        <w:t>-Locke DL.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</w:t>
      </w:r>
      <w:hyperlink r:id="rId16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A rare case of non-Epstein-Barr virus-associated </w:t>
        </w:r>
        <w:proofErr w:type="spell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lymphoepithelioma</w:t>
        </w:r>
        <w:proofErr w:type="spell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-like carcinoma of the esophagus treated with endoscopic submucosal dissection.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Gastrointest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Endosc</w:t>
      </w:r>
      <w:proofErr w:type="spellEnd"/>
      <w:r>
        <w:rPr>
          <w:rFonts w:asciiTheme="minorHAnsi" w:hAnsiTheme="minorHAnsi" w:cs="Arial"/>
          <w:color w:val="000000" w:themeColor="text1"/>
        </w:rPr>
        <w:t>. 2016 Feb</w:t>
      </w:r>
      <w:proofErr w:type="gramStart"/>
      <w:r>
        <w:rPr>
          <w:rFonts w:asciiTheme="minorHAnsi" w:hAnsiTheme="minorHAnsi" w:cs="Arial"/>
          <w:color w:val="000000" w:themeColor="text1"/>
        </w:rPr>
        <w:t>;83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(2):471-2; discussion 472. </w:t>
      </w:r>
    </w:p>
    <w:p w:rsidR="00744C06" w:rsidRDefault="00744C06" w:rsidP="00744C06">
      <w:pPr>
        <w:spacing w:line="336" w:lineRule="atLeast"/>
        <w:rPr>
          <w:rFonts w:ascii="Times New Roman" w:eastAsia="Times New Roman" w:hAnsi="Times New Roman" w:cs="Times New Roman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proofErr w:type="gramStart"/>
      <w:r>
        <w:rPr>
          <w:rFonts w:asciiTheme="minorHAnsi" w:hAnsiTheme="minorHAnsi" w:cs="Arial"/>
          <w:color w:val="000000" w:themeColor="text1"/>
        </w:rPr>
        <w:t>Kröner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PT, </w:t>
      </w:r>
      <w:proofErr w:type="spellStart"/>
      <w:r>
        <w:rPr>
          <w:rFonts w:asciiTheme="minorHAnsi" w:hAnsiTheme="minorHAnsi" w:cs="Arial"/>
          <w:color w:val="000000" w:themeColor="text1"/>
        </w:rPr>
        <w:t>Mankal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PK, </w:t>
      </w:r>
      <w:proofErr w:type="spellStart"/>
      <w:r>
        <w:rPr>
          <w:rFonts w:asciiTheme="minorHAnsi" w:hAnsiTheme="minorHAnsi" w:cs="Arial"/>
          <w:color w:val="000000" w:themeColor="text1"/>
        </w:rPr>
        <w:t>Dalapathi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V, Shroff K,</w:t>
      </w:r>
      <w:r>
        <w:rPr>
          <w:rStyle w:val="apple-converted-space"/>
          <w:rFonts w:asciiTheme="minorHAnsi" w:hAnsiTheme="minorHAnsi" w:cs="Arial"/>
          <w:color w:val="000000" w:themeColor="text1"/>
        </w:rPr>
        <w:t> </w:t>
      </w:r>
      <w:r>
        <w:rPr>
          <w:rFonts w:asciiTheme="minorHAnsi" w:hAnsiTheme="minorHAnsi" w:cs="Arial"/>
          <w:b/>
          <w:bCs/>
          <w:color w:val="000000" w:themeColor="text1"/>
        </w:rPr>
        <w:t>Abed J</w:t>
      </w:r>
      <w:r>
        <w:rPr>
          <w:rFonts w:asciiTheme="minorHAnsi" w:hAnsiTheme="minorHAnsi" w:cs="Arial"/>
          <w:color w:val="000000" w:themeColor="text1"/>
        </w:rPr>
        <w:t>, Kotler DP.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</w:t>
      </w:r>
      <w:hyperlink r:id="rId17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Alcohol-Attributable Fraction in Liver Disease: Does GDP Per Capita Matter?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proofErr w:type="gramStart"/>
      <w:r>
        <w:rPr>
          <w:rStyle w:val="jrnl"/>
          <w:rFonts w:asciiTheme="minorHAnsi" w:hAnsiTheme="minorHAnsi" w:cs="Arial"/>
          <w:color w:val="000000" w:themeColor="text1"/>
        </w:rPr>
        <w:t>Ann Glob Health</w:t>
      </w:r>
      <w:r>
        <w:rPr>
          <w:rFonts w:asciiTheme="minorHAnsi" w:hAnsiTheme="minorHAnsi" w:cs="Arial"/>
          <w:color w:val="000000" w:themeColor="text1"/>
        </w:rPr>
        <w:t>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2015 Sep-Oct</w:t>
      </w:r>
      <w:proofErr w:type="gramStart"/>
      <w:r>
        <w:rPr>
          <w:rFonts w:asciiTheme="minorHAnsi" w:hAnsiTheme="minorHAnsi" w:cs="Arial"/>
          <w:color w:val="000000" w:themeColor="text1"/>
        </w:rPr>
        <w:t>;81</w:t>
      </w:r>
      <w:proofErr w:type="gramEnd"/>
      <w:r>
        <w:rPr>
          <w:rFonts w:asciiTheme="minorHAnsi" w:hAnsiTheme="minorHAnsi" w:cs="Arial"/>
          <w:color w:val="000000" w:themeColor="text1"/>
        </w:rPr>
        <w:t>(5):711-7.</w:t>
      </w:r>
      <w:r>
        <w:rPr>
          <w:rFonts w:asciiTheme="minorHAnsi" w:eastAsia="Times New Roman" w:hAnsiTheme="minorHAnsi" w:cs="Arial"/>
          <w:color w:val="000000" w:themeColor="text1"/>
        </w:rPr>
        <w:t xml:space="preserve"> </w:t>
      </w:r>
    </w:p>
    <w:p w:rsidR="00744C06" w:rsidRDefault="00744C06" w:rsidP="00744C06">
      <w:pPr>
        <w:spacing w:line="336" w:lineRule="atLeast"/>
        <w:rPr>
          <w:rFonts w:eastAsia="Times New Roman" w:cs="Times New Roman"/>
          <w:color w:val="000000" w:themeColor="text1"/>
          <w:sz w:val="24"/>
          <w:szCs w:val="24"/>
        </w:rPr>
      </w:pPr>
    </w:p>
    <w:p w:rsidR="00744C06" w:rsidRDefault="00744C06" w:rsidP="00744C06">
      <w:pPr>
        <w:spacing w:line="336" w:lineRule="atLeast"/>
        <w:rPr>
          <w:rFonts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cs="Arial"/>
          <w:color w:val="000000" w:themeColor="text1"/>
          <w:sz w:val="24"/>
          <w:szCs w:val="24"/>
        </w:rPr>
        <w:t>Simoes</w:t>
      </w:r>
      <w:proofErr w:type="spellEnd"/>
      <w:r>
        <w:rPr>
          <w:rFonts w:cs="Arial"/>
          <w:color w:val="000000" w:themeColor="text1"/>
          <w:sz w:val="24"/>
          <w:szCs w:val="24"/>
        </w:rPr>
        <w:t xml:space="preserve"> P, </w:t>
      </w:r>
      <w:proofErr w:type="spellStart"/>
      <w:r>
        <w:rPr>
          <w:rFonts w:cs="Arial"/>
          <w:color w:val="000000" w:themeColor="text1"/>
          <w:sz w:val="24"/>
          <w:szCs w:val="24"/>
        </w:rPr>
        <w:t>Asaad</w:t>
      </w:r>
      <w:proofErr w:type="spellEnd"/>
      <w:r>
        <w:rPr>
          <w:rFonts w:cs="Arial"/>
          <w:color w:val="000000" w:themeColor="text1"/>
          <w:sz w:val="24"/>
          <w:szCs w:val="24"/>
        </w:rPr>
        <w:t xml:space="preserve"> A,</w:t>
      </w:r>
      <w:r>
        <w:rPr>
          <w:rStyle w:val="apple-converted-space"/>
          <w:rFonts w:cs="Arial"/>
          <w:color w:val="000000" w:themeColor="text1"/>
          <w:sz w:val="24"/>
          <w:szCs w:val="24"/>
        </w:rPr>
        <w:t> </w:t>
      </w:r>
      <w:r>
        <w:rPr>
          <w:rFonts w:cs="Arial"/>
          <w:b/>
          <w:bCs/>
          <w:color w:val="000000" w:themeColor="text1"/>
          <w:sz w:val="24"/>
          <w:szCs w:val="24"/>
        </w:rPr>
        <w:t>Abed J</w:t>
      </w:r>
      <w:r>
        <w:rPr>
          <w:rFonts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 w:val="24"/>
          <w:szCs w:val="24"/>
        </w:rPr>
        <w:t>Engelson</w:t>
      </w:r>
      <w:proofErr w:type="spellEnd"/>
      <w:r>
        <w:rPr>
          <w:rFonts w:cs="Arial"/>
          <w:color w:val="000000" w:themeColor="text1"/>
          <w:sz w:val="24"/>
          <w:szCs w:val="24"/>
        </w:rPr>
        <w:t xml:space="preserve"> ES, Kotler DP.</w:t>
      </w:r>
      <w:proofErr w:type="gramEnd"/>
      <w:r>
        <w:rPr>
          <w:rFonts w:cs="Arial"/>
          <w:color w:val="000000" w:themeColor="text1"/>
          <w:sz w:val="24"/>
          <w:szCs w:val="24"/>
        </w:rPr>
        <w:t xml:space="preserve"> </w:t>
      </w:r>
      <w:hyperlink r:id="rId18" w:history="1">
        <w:proofErr w:type="gramStart"/>
        <w:r>
          <w:rPr>
            <w:rStyle w:val="Hyperlink"/>
            <w:rFonts w:cs="Arial"/>
            <w:color w:val="000000" w:themeColor="text1"/>
            <w:sz w:val="24"/>
            <w:szCs w:val="24"/>
            <w:u w:val="none"/>
          </w:rPr>
          <w:t>Effect of Gender on the Response to Hepatitis C Treatment in an Inner-City Population.</w:t>
        </w:r>
        <w:proofErr w:type="gramEnd"/>
      </w:hyperlink>
      <w:r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Style w:val="jrnl"/>
          <w:rFonts w:cs="Arial"/>
          <w:color w:val="000000" w:themeColor="text1"/>
          <w:sz w:val="24"/>
          <w:szCs w:val="24"/>
        </w:rPr>
        <w:t>Women’s Health Issues</w:t>
      </w:r>
      <w:r>
        <w:rPr>
          <w:rFonts w:cs="Arial"/>
          <w:color w:val="000000" w:themeColor="text1"/>
          <w:sz w:val="24"/>
          <w:szCs w:val="24"/>
        </w:rPr>
        <w:t>. 2015 May-Jun</w:t>
      </w:r>
      <w:proofErr w:type="gramStart"/>
      <w:r>
        <w:rPr>
          <w:rFonts w:cs="Arial"/>
          <w:color w:val="000000" w:themeColor="text1"/>
          <w:sz w:val="24"/>
          <w:szCs w:val="24"/>
        </w:rPr>
        <w:t>;25</w:t>
      </w:r>
      <w:proofErr w:type="gramEnd"/>
      <w:r>
        <w:rPr>
          <w:rFonts w:cs="Arial"/>
          <w:color w:val="000000" w:themeColor="text1"/>
          <w:sz w:val="24"/>
          <w:szCs w:val="24"/>
        </w:rPr>
        <w:t xml:space="preserve">(3):289-93. </w:t>
      </w: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r>
        <w:rPr>
          <w:rFonts w:asciiTheme="minorHAnsi" w:hAnsiTheme="minorHAnsi" w:cs="Arial"/>
          <w:color w:val="000000" w:themeColor="text1"/>
        </w:rPr>
        <w:t>Martillo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M,</w:t>
      </w:r>
      <w:r>
        <w:rPr>
          <w:rStyle w:val="apple-converted-space"/>
          <w:rFonts w:asciiTheme="minorHAnsi" w:hAnsiTheme="minorHAnsi" w:cs="Arial"/>
          <w:color w:val="000000" w:themeColor="text1"/>
        </w:rPr>
        <w:t> </w:t>
      </w:r>
      <w:r>
        <w:rPr>
          <w:rFonts w:asciiTheme="minorHAnsi" w:hAnsiTheme="minorHAnsi" w:cs="Arial"/>
          <w:b/>
          <w:bCs/>
          <w:color w:val="000000" w:themeColor="text1"/>
        </w:rPr>
        <w:t>Abed J</w:t>
      </w:r>
      <w:r>
        <w:rPr>
          <w:rFonts w:asciiTheme="minorHAnsi" w:hAnsiTheme="minorHAnsi" w:cs="Arial"/>
          <w:color w:val="000000" w:themeColor="text1"/>
        </w:rPr>
        <w:t xml:space="preserve">, </w:t>
      </w:r>
      <w:r>
        <w:rPr>
          <w:rFonts w:asciiTheme="minorHAnsi" w:hAnsiTheme="minorHAnsi" w:cs="Arial"/>
          <w:b/>
          <w:color w:val="000000" w:themeColor="text1"/>
        </w:rPr>
        <w:t>Herman M</w:t>
      </w:r>
      <w:r>
        <w:rPr>
          <w:rFonts w:asciiTheme="minorHAnsi" w:hAnsiTheme="minorHAnsi" w:cs="Arial"/>
          <w:color w:val="000000" w:themeColor="text1"/>
        </w:rPr>
        <w:t xml:space="preserve">, Abed E, Shi W, </w:t>
      </w:r>
      <w:proofErr w:type="spellStart"/>
      <w:r>
        <w:rPr>
          <w:rFonts w:asciiTheme="minorHAnsi" w:hAnsiTheme="minorHAnsi" w:cs="Arial"/>
          <w:color w:val="000000" w:themeColor="text1"/>
        </w:rPr>
        <w:t>Munot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K, </w:t>
      </w:r>
      <w:proofErr w:type="spellStart"/>
      <w:r>
        <w:rPr>
          <w:rFonts w:asciiTheme="minorHAnsi" w:hAnsiTheme="minorHAnsi" w:cs="Arial"/>
          <w:color w:val="000000" w:themeColor="text1"/>
        </w:rPr>
        <w:t>Mankal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PK, </w:t>
      </w:r>
      <w:proofErr w:type="spellStart"/>
      <w:r>
        <w:rPr>
          <w:rFonts w:asciiTheme="minorHAnsi" w:hAnsiTheme="minorHAnsi" w:cs="Arial"/>
          <w:color w:val="000000" w:themeColor="text1"/>
        </w:rPr>
        <w:t>Gurunathan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R, </w:t>
      </w:r>
      <w:proofErr w:type="spellStart"/>
      <w:r>
        <w:rPr>
          <w:rFonts w:asciiTheme="minorHAnsi" w:hAnsiTheme="minorHAnsi" w:cs="Arial"/>
          <w:color w:val="000000" w:themeColor="text1"/>
        </w:rPr>
        <w:t>Ionescu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G, Kotler DP. </w:t>
      </w:r>
      <w:hyperlink r:id="rId19" w:history="1">
        <w:proofErr w:type="gram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An Atypical Case of Eosinophilic Gastroenteritis Presenting as Hypovolemic Shock.</w:t>
        </w:r>
        <w:proofErr w:type="gramEnd"/>
      </w:hyperlink>
    </w:p>
    <w:p w:rsidR="00744C06" w:rsidRDefault="00744C06" w:rsidP="00744C06">
      <w:pPr>
        <w:pStyle w:val="details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>
        <w:rPr>
          <w:rStyle w:val="jrnl"/>
          <w:rFonts w:asciiTheme="minorHAnsi" w:hAnsiTheme="minorHAnsi" w:cs="Arial"/>
          <w:color w:val="000000" w:themeColor="text1"/>
        </w:rPr>
        <w:t xml:space="preserve">Case Rep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Gastroenterol</w:t>
      </w:r>
      <w:proofErr w:type="spellEnd"/>
      <w:r>
        <w:rPr>
          <w:rFonts w:asciiTheme="minorHAnsi" w:hAnsiTheme="minorHAnsi" w:cs="Arial"/>
          <w:color w:val="000000" w:themeColor="text1"/>
        </w:rPr>
        <w:t>. 2015 May 8</w:t>
      </w:r>
      <w:proofErr w:type="gramStart"/>
      <w:r>
        <w:rPr>
          <w:rFonts w:asciiTheme="minorHAnsi" w:hAnsiTheme="minorHAnsi" w:cs="Arial"/>
          <w:color w:val="000000" w:themeColor="text1"/>
        </w:rPr>
        <w:t>;9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(2):142-51. </w:t>
      </w:r>
    </w:p>
    <w:p w:rsidR="00744C06" w:rsidRDefault="00744C06" w:rsidP="00744C06">
      <w:pPr>
        <w:pStyle w:val="Title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:rsidR="00744C06" w:rsidRDefault="00744C06" w:rsidP="00744C06">
      <w:pPr>
        <w:pStyle w:val="Title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proofErr w:type="gramStart"/>
      <w:r>
        <w:rPr>
          <w:rFonts w:asciiTheme="minorHAnsi" w:hAnsiTheme="minorHAnsi" w:cs="Arial"/>
          <w:b/>
          <w:color w:val="000000" w:themeColor="text1"/>
        </w:rPr>
        <w:t>Mankal</w:t>
      </w:r>
      <w:proofErr w:type="spellEnd"/>
      <w:r>
        <w:rPr>
          <w:rFonts w:asciiTheme="minorHAnsi" w:hAnsiTheme="minorHAnsi" w:cs="Arial"/>
          <w:b/>
          <w:color w:val="000000" w:themeColor="text1"/>
        </w:rPr>
        <w:t xml:space="preserve"> PK</w:t>
      </w:r>
      <w:r>
        <w:rPr>
          <w:rFonts w:asciiTheme="minorHAnsi" w:hAnsiTheme="minorHAnsi" w:cs="Arial"/>
          <w:color w:val="000000" w:themeColor="text1"/>
        </w:rPr>
        <w:t>,</w:t>
      </w:r>
      <w:r>
        <w:rPr>
          <w:rStyle w:val="apple-converted-space"/>
          <w:rFonts w:asciiTheme="minorHAnsi" w:hAnsiTheme="minorHAnsi" w:cs="Arial"/>
          <w:color w:val="000000" w:themeColor="text1"/>
        </w:rPr>
        <w:t> </w:t>
      </w:r>
      <w:r>
        <w:rPr>
          <w:rFonts w:asciiTheme="minorHAnsi" w:hAnsiTheme="minorHAnsi" w:cs="Arial"/>
          <w:b/>
          <w:bCs/>
          <w:color w:val="000000" w:themeColor="text1"/>
        </w:rPr>
        <w:t>Abed J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Aristy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JD, </w:t>
      </w:r>
      <w:proofErr w:type="spellStart"/>
      <w:r>
        <w:rPr>
          <w:rFonts w:asciiTheme="minorHAnsi" w:hAnsiTheme="minorHAnsi" w:cs="Arial"/>
          <w:color w:val="000000" w:themeColor="text1"/>
        </w:rPr>
        <w:t>Munot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K, </w:t>
      </w:r>
      <w:proofErr w:type="spellStart"/>
      <w:r>
        <w:rPr>
          <w:rFonts w:asciiTheme="minorHAnsi" w:hAnsiTheme="minorHAnsi" w:cs="Arial"/>
          <w:color w:val="000000" w:themeColor="text1"/>
        </w:rPr>
        <w:t>Suneja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U, </w:t>
      </w:r>
      <w:proofErr w:type="spellStart"/>
      <w:r>
        <w:rPr>
          <w:rFonts w:asciiTheme="minorHAnsi" w:hAnsiTheme="minorHAnsi" w:cs="Arial"/>
          <w:color w:val="000000" w:themeColor="text1"/>
        </w:rPr>
        <w:t>Engelson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ES, Kotler DP.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</w:t>
      </w:r>
      <w:hyperlink r:id="rId20" w:history="1">
        <w:proofErr w:type="gramStart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Relative effects of heavy alcohol use and hepatitis C in decompensated chronic liver disease in a hospital inpatient population.</w:t>
        </w:r>
        <w:proofErr w:type="gramEnd"/>
      </w:hyperlink>
      <w:r>
        <w:rPr>
          <w:rFonts w:asciiTheme="minorHAnsi" w:hAnsiTheme="minorHAnsi" w:cs="Arial"/>
          <w:color w:val="000000" w:themeColor="text1"/>
        </w:rPr>
        <w:t xml:space="preserve"> </w:t>
      </w:r>
      <w:proofErr w:type="gramStart"/>
      <w:r>
        <w:rPr>
          <w:rStyle w:val="jrnl"/>
          <w:rFonts w:asciiTheme="minorHAnsi" w:hAnsiTheme="minorHAnsi" w:cs="Arial"/>
          <w:color w:val="000000" w:themeColor="text1"/>
        </w:rPr>
        <w:t>Am J Drug Alcohol Abuse</w:t>
      </w:r>
      <w:r>
        <w:rPr>
          <w:rFonts w:asciiTheme="minorHAnsi" w:hAnsiTheme="minorHAnsi" w:cs="Arial"/>
          <w:color w:val="000000" w:themeColor="text1"/>
        </w:rPr>
        <w:t>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2015 Mar</w:t>
      </w:r>
      <w:proofErr w:type="gramStart"/>
      <w:r>
        <w:rPr>
          <w:rFonts w:asciiTheme="minorHAnsi" w:hAnsiTheme="minorHAnsi" w:cs="Arial"/>
          <w:color w:val="000000" w:themeColor="text1"/>
        </w:rPr>
        <w:t>;41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(2):177-82. </w:t>
      </w:r>
    </w:p>
    <w:p w:rsidR="00744C06" w:rsidRDefault="00744C06" w:rsidP="00744C06">
      <w:pPr>
        <w:spacing w:line="336" w:lineRule="atLeast"/>
        <w:rPr>
          <w:rFonts w:ascii="Times New Roman" w:eastAsia="Times New Roman" w:hAnsi="Times New Roman" w:cs="Times New Roman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Abed J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Mankal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P, </w:t>
      </w:r>
      <w:proofErr w:type="spellStart"/>
      <w:r>
        <w:rPr>
          <w:rFonts w:asciiTheme="minorHAnsi" w:hAnsiTheme="minorHAnsi" w:cs="Arial"/>
          <w:color w:val="000000" w:themeColor="text1"/>
        </w:rPr>
        <w:t>Judeh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H, </w:t>
      </w:r>
      <w:proofErr w:type="gramStart"/>
      <w:r>
        <w:rPr>
          <w:rFonts w:asciiTheme="minorHAnsi" w:hAnsiTheme="minorHAnsi" w:cs="Arial"/>
          <w:color w:val="000000" w:themeColor="text1"/>
        </w:rPr>
        <w:t xml:space="preserve">Kim S. </w:t>
      </w:r>
      <w:hyperlink r:id="rId21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Acute</w:t>
        </w:r>
        <w:proofErr w:type="gramEnd"/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 xml:space="preserve"> Esophageal Necrosis: A Case of Black Esophagus Associated with Bismuth Subsalicylate Ingestion.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r>
        <w:rPr>
          <w:rStyle w:val="jrnl"/>
          <w:rFonts w:asciiTheme="minorHAnsi" w:hAnsiTheme="minorHAnsi" w:cs="Arial"/>
          <w:color w:val="000000" w:themeColor="text1"/>
        </w:rPr>
        <w:t>ACG Case Rep J</w:t>
      </w:r>
      <w:r>
        <w:rPr>
          <w:rFonts w:asciiTheme="minorHAnsi" w:hAnsiTheme="minorHAnsi" w:cs="Arial"/>
          <w:color w:val="000000" w:themeColor="text1"/>
        </w:rPr>
        <w:t>. 2014 Apr 4</w:t>
      </w:r>
      <w:proofErr w:type="gramStart"/>
      <w:r>
        <w:rPr>
          <w:rFonts w:asciiTheme="minorHAnsi" w:hAnsiTheme="minorHAnsi" w:cs="Arial"/>
          <w:color w:val="000000" w:themeColor="text1"/>
        </w:rPr>
        <w:t>;1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(3):131-3. </w:t>
      </w:r>
    </w:p>
    <w:p w:rsidR="00744C06" w:rsidRDefault="00744C06" w:rsidP="00744C06">
      <w:pPr>
        <w:spacing w:line="336" w:lineRule="atLeast"/>
        <w:rPr>
          <w:rFonts w:eastAsia="Times New Roman" w:cs="Times New Roman"/>
          <w:color w:val="000000" w:themeColor="text1"/>
          <w:sz w:val="24"/>
          <w:szCs w:val="24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r>
        <w:rPr>
          <w:rFonts w:asciiTheme="minorHAnsi" w:hAnsiTheme="minorHAnsi" w:cs="Arial"/>
          <w:b/>
          <w:color w:val="000000" w:themeColor="text1"/>
        </w:rPr>
        <w:lastRenderedPageBreak/>
        <w:t>Mankal</w:t>
      </w:r>
      <w:proofErr w:type="spellEnd"/>
      <w:r>
        <w:rPr>
          <w:rFonts w:asciiTheme="minorHAnsi" w:hAnsiTheme="minorHAnsi" w:cs="Arial"/>
          <w:b/>
          <w:color w:val="000000" w:themeColor="text1"/>
        </w:rPr>
        <w:t xml:space="preserve"> PK</w:t>
      </w:r>
      <w:r>
        <w:rPr>
          <w:rFonts w:asciiTheme="minorHAnsi" w:hAnsiTheme="minorHAnsi" w:cs="Arial"/>
          <w:color w:val="000000" w:themeColor="text1"/>
        </w:rPr>
        <w:t xml:space="preserve">, Kotler DP. </w:t>
      </w:r>
      <w:hyperlink r:id="rId22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From wasting to obesity, changes in nutritional concerns in HIV/AIDS.</w:t>
        </w:r>
      </w:hyperlink>
    </w:p>
    <w:p w:rsidR="00744C06" w:rsidRDefault="00744C06" w:rsidP="00744C06">
      <w:pPr>
        <w:pStyle w:val="details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Endocrinol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Metab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Style w:val="jrnl"/>
          <w:rFonts w:asciiTheme="minorHAnsi" w:hAnsiTheme="minorHAnsi" w:cs="Arial"/>
          <w:color w:val="000000" w:themeColor="text1"/>
        </w:rPr>
        <w:t>Clin</w:t>
      </w:r>
      <w:proofErr w:type="spellEnd"/>
      <w:r>
        <w:rPr>
          <w:rStyle w:val="jrnl"/>
          <w:rFonts w:asciiTheme="minorHAnsi" w:hAnsiTheme="minorHAnsi" w:cs="Arial"/>
          <w:color w:val="000000" w:themeColor="text1"/>
        </w:rPr>
        <w:t xml:space="preserve"> North Am</w:t>
      </w:r>
      <w:r>
        <w:rPr>
          <w:rFonts w:asciiTheme="minorHAnsi" w:hAnsiTheme="minorHAnsi" w:cs="Arial"/>
          <w:color w:val="000000" w:themeColor="text1"/>
        </w:rPr>
        <w:t>. 2014 Sep</w:t>
      </w:r>
      <w:proofErr w:type="gramStart"/>
      <w:r>
        <w:rPr>
          <w:rFonts w:asciiTheme="minorHAnsi" w:hAnsiTheme="minorHAnsi" w:cs="Arial"/>
          <w:color w:val="000000" w:themeColor="text1"/>
        </w:rPr>
        <w:t>;43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(3):647-63. </w:t>
      </w:r>
    </w:p>
    <w:p w:rsidR="00744C06" w:rsidRDefault="00744C06" w:rsidP="00744C06">
      <w:pPr>
        <w:spacing w:line="336" w:lineRule="atLeast"/>
        <w:rPr>
          <w:rFonts w:ascii="Times New Roman" w:eastAsia="Times New Roman" w:hAnsi="Times New Roman" w:cs="Times New Roman"/>
        </w:rPr>
      </w:pPr>
    </w:p>
    <w:p w:rsidR="00744C06" w:rsidRDefault="00744C06" w:rsidP="00744C06">
      <w:pPr>
        <w:pStyle w:val="desc"/>
        <w:spacing w:before="0" w:beforeAutospacing="0" w:after="0" w:afterAutospacing="0"/>
        <w:rPr>
          <w:rFonts w:asciiTheme="minorHAnsi" w:hAnsiTheme="minorHAnsi" w:cs="Arial"/>
          <w:color w:val="000000" w:themeColor="text1"/>
        </w:rPr>
      </w:pPr>
      <w:proofErr w:type="spellStart"/>
      <w:proofErr w:type="gramStart"/>
      <w:r>
        <w:rPr>
          <w:rFonts w:asciiTheme="minorHAnsi" w:hAnsiTheme="minorHAnsi" w:cs="Arial"/>
          <w:color w:val="000000" w:themeColor="text1"/>
        </w:rPr>
        <w:t>Lipp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MJ,</w:t>
      </w:r>
      <w:r>
        <w:rPr>
          <w:rStyle w:val="apple-converted-space"/>
          <w:rFonts w:asciiTheme="minorHAnsi" w:hAnsiTheme="minorHAnsi" w:cs="Arial"/>
          <w:color w:val="000000" w:themeColor="text1"/>
        </w:rPr>
        <w:t> </w:t>
      </w:r>
      <w:r>
        <w:rPr>
          <w:rFonts w:asciiTheme="minorHAnsi" w:hAnsiTheme="minorHAnsi" w:cs="Arial"/>
          <w:b/>
          <w:bCs/>
          <w:color w:val="000000" w:themeColor="text1"/>
        </w:rPr>
        <w:t>D'Souza LS</w:t>
      </w:r>
      <w:r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>
        <w:rPr>
          <w:rFonts w:asciiTheme="minorHAnsi" w:hAnsiTheme="minorHAnsi" w:cs="Arial"/>
          <w:color w:val="000000" w:themeColor="text1"/>
        </w:rPr>
        <w:t>Clain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DJ, </w:t>
      </w:r>
      <w:proofErr w:type="spellStart"/>
      <w:r>
        <w:rPr>
          <w:rFonts w:asciiTheme="minorHAnsi" w:hAnsiTheme="minorHAnsi" w:cs="Arial"/>
          <w:color w:val="000000" w:themeColor="text1"/>
        </w:rPr>
        <w:t>Bodenheimer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HC Jr, Min AD.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</w:t>
      </w:r>
      <w:hyperlink r:id="rId23" w:history="1">
        <w:r>
          <w:rPr>
            <w:rStyle w:val="Hyperlink"/>
            <w:rFonts w:asciiTheme="minorHAnsi" w:hAnsiTheme="minorHAnsi" w:cs="Arial"/>
            <w:color w:val="000000" w:themeColor="text1"/>
            <w:u w:val="none"/>
          </w:rPr>
          <w:t>Trends in the indication and method of liver biopsy for hepatitis B and C.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r>
        <w:rPr>
          <w:rStyle w:val="jrnl"/>
          <w:rFonts w:asciiTheme="minorHAnsi" w:hAnsiTheme="minorHAnsi" w:cs="Arial"/>
          <w:color w:val="000000" w:themeColor="text1"/>
        </w:rPr>
        <w:t>Dig Dis Sci</w:t>
      </w:r>
      <w:r>
        <w:rPr>
          <w:rFonts w:asciiTheme="minorHAnsi" w:hAnsiTheme="minorHAnsi" w:cs="Arial"/>
          <w:color w:val="000000" w:themeColor="text1"/>
        </w:rPr>
        <w:t>. 2010 Oct</w:t>
      </w:r>
      <w:proofErr w:type="gramStart"/>
      <w:r>
        <w:rPr>
          <w:rFonts w:asciiTheme="minorHAnsi" w:hAnsiTheme="minorHAnsi" w:cs="Arial"/>
          <w:color w:val="000000" w:themeColor="text1"/>
        </w:rPr>
        <w:t>;55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(10):2971-6. </w:t>
      </w:r>
    </w:p>
    <w:p w:rsidR="00744C06" w:rsidRDefault="00744C06" w:rsidP="00744C06">
      <w:pPr>
        <w:pStyle w:val="ListParagraph"/>
        <w:ind w:left="90"/>
        <w:rPr>
          <w:sz w:val="24"/>
          <w:szCs w:val="24"/>
        </w:rPr>
      </w:pPr>
    </w:p>
    <w:p w:rsidR="00034A60" w:rsidRDefault="00034A60"/>
    <w:sectPr w:rsidR="00034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06"/>
    <w:rsid w:val="00034A60"/>
    <w:rsid w:val="007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C06"/>
    <w:rPr>
      <w:color w:val="0000FF" w:themeColor="hyperlink"/>
      <w:u w:val="single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locked/>
    <w:rsid w:val="00744C06"/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title"/>
    <w:basedOn w:val="Normal"/>
    <w:link w:val="TitleChar"/>
    <w:uiPriority w:val="10"/>
    <w:qFormat/>
    <w:rsid w:val="00744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744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qFormat/>
    <w:rsid w:val="00744C06"/>
    <w:pPr>
      <w:ind w:left="720"/>
      <w:contextualSpacing/>
    </w:pPr>
  </w:style>
  <w:style w:type="paragraph" w:customStyle="1" w:styleId="desc">
    <w:name w:val="desc"/>
    <w:basedOn w:val="Normal"/>
    <w:rsid w:val="00744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744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744C06"/>
  </w:style>
  <w:style w:type="character" w:customStyle="1" w:styleId="apple-converted-space">
    <w:name w:val="apple-converted-space"/>
    <w:basedOn w:val="DefaultParagraphFont"/>
    <w:rsid w:val="00744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C06"/>
    <w:rPr>
      <w:color w:val="0000FF" w:themeColor="hyperlink"/>
      <w:u w:val="single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locked/>
    <w:rsid w:val="00744C06"/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title"/>
    <w:basedOn w:val="Normal"/>
    <w:link w:val="TitleChar"/>
    <w:uiPriority w:val="10"/>
    <w:qFormat/>
    <w:rsid w:val="00744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744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qFormat/>
    <w:rsid w:val="00744C06"/>
    <w:pPr>
      <w:ind w:left="720"/>
      <w:contextualSpacing/>
    </w:pPr>
  </w:style>
  <w:style w:type="paragraph" w:customStyle="1" w:styleId="desc">
    <w:name w:val="desc"/>
    <w:basedOn w:val="Normal"/>
    <w:rsid w:val="00744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744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744C06"/>
  </w:style>
  <w:style w:type="character" w:customStyle="1" w:styleId="apple-converted-space">
    <w:name w:val="apple-converted-space"/>
    <w:basedOn w:val="DefaultParagraphFont"/>
    <w:rsid w:val="0074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874860" TargetMode="External"/><Relationship Id="rId13" Type="http://schemas.openxmlformats.org/officeDocument/2006/relationships/hyperlink" Target="https://www.ncbi.nlm.nih.gov/pubmed/27807553" TargetMode="External"/><Relationship Id="rId18" Type="http://schemas.openxmlformats.org/officeDocument/2006/relationships/hyperlink" Target="https://www.ncbi.nlm.nih.gov/pubmed/259651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26157851" TargetMode="External"/><Relationship Id="rId7" Type="http://schemas.openxmlformats.org/officeDocument/2006/relationships/hyperlink" Target="https://www.ncbi.nlm.nih.gov/pubmed/27354102" TargetMode="External"/><Relationship Id="rId12" Type="http://schemas.openxmlformats.org/officeDocument/2006/relationships/hyperlink" Target="https://www.ncbi.nlm.nih.gov/pubmed/27004242" TargetMode="External"/><Relationship Id="rId17" Type="http://schemas.openxmlformats.org/officeDocument/2006/relationships/hyperlink" Target="https://www.ncbi.nlm.nih.gov/pubmed/2703673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ncbi.nlm.nih.gov/pubmed/26297869" TargetMode="External"/><Relationship Id="rId20" Type="http://schemas.openxmlformats.org/officeDocument/2006/relationships/hyperlink" Target="https://www.ncbi.nlm.nih.gov/pubmed/253208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8719929" TargetMode="External"/><Relationship Id="rId11" Type="http://schemas.openxmlformats.org/officeDocument/2006/relationships/hyperlink" Target="https://www.ncbi.nlm.nih.gov/pubmed/2709729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ncbi.nlm.nih.gov/pubmed/28759924" TargetMode="External"/><Relationship Id="rId15" Type="http://schemas.openxmlformats.org/officeDocument/2006/relationships/hyperlink" Target="https://www.ncbi.nlm.nih.gov/pubmed/27434768" TargetMode="External"/><Relationship Id="rId23" Type="http://schemas.openxmlformats.org/officeDocument/2006/relationships/hyperlink" Target="https://www.ncbi.nlm.nih.gov/pubmed/20632096" TargetMode="External"/><Relationship Id="rId10" Type="http://schemas.openxmlformats.org/officeDocument/2006/relationships/hyperlink" Target="https://www.ncbi.nlm.nih.gov/pubmed/27910146" TargetMode="External"/><Relationship Id="rId19" Type="http://schemas.openxmlformats.org/officeDocument/2006/relationships/hyperlink" Target="https://www.ncbi.nlm.nih.gov/pubmed/26078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8243052" TargetMode="External"/><Relationship Id="rId14" Type="http://schemas.openxmlformats.org/officeDocument/2006/relationships/hyperlink" Target="https://www.ncbi.nlm.nih.gov/pubmed/27622192" TargetMode="External"/><Relationship Id="rId22" Type="http://schemas.openxmlformats.org/officeDocument/2006/relationships/hyperlink" Target="https://www.ncbi.nlm.nih.gov/pubmed/25169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Efran, Beth</dc:creator>
  <cp:lastModifiedBy>Efran, Beth</cp:lastModifiedBy>
  <cp:revision>1</cp:revision>
  <dcterms:created xsi:type="dcterms:W3CDTF">2018-03-12T15:31:00Z</dcterms:created>
  <dcterms:modified xsi:type="dcterms:W3CDTF">2018-03-12T15:31:00Z</dcterms:modified>
</cp:coreProperties>
</file>